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76" w:rsidRDefault="00B66125" w:rsidP="00432D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497576" w:rsidRDefault="00497576" w:rsidP="00432D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B66125" w:rsidRDefault="00904BF2" w:rsidP="00B661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2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A3551" w:rsidRPr="00B6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1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04BF2" w:rsidRPr="00B66125" w:rsidRDefault="00904BF2" w:rsidP="00B6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25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B6612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B66125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B6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B6612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66125">
        <w:rPr>
          <w:rFonts w:ascii="Times New Roman" w:hAnsi="Times New Roman" w:cs="Times New Roman"/>
          <w:b/>
          <w:sz w:val="28"/>
          <w:szCs w:val="28"/>
        </w:rPr>
        <w:t>»</w:t>
      </w:r>
      <w:r w:rsidR="00E7022D" w:rsidRPr="00B6612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A14E2" w:rsidRPr="00B66125">
        <w:rPr>
          <w:rFonts w:ascii="Times New Roman" w:hAnsi="Times New Roman" w:cs="Times New Roman"/>
          <w:b/>
          <w:sz w:val="28"/>
          <w:szCs w:val="28"/>
        </w:rPr>
        <w:t>1</w:t>
      </w:r>
      <w:r w:rsidR="00E7022D" w:rsidRPr="00B66125">
        <w:rPr>
          <w:rFonts w:ascii="Times New Roman" w:hAnsi="Times New Roman" w:cs="Times New Roman"/>
          <w:b/>
          <w:sz w:val="28"/>
          <w:szCs w:val="28"/>
        </w:rPr>
        <w:t>-202</w:t>
      </w:r>
      <w:r w:rsidR="002A14E2" w:rsidRPr="00B66125">
        <w:rPr>
          <w:rFonts w:ascii="Times New Roman" w:hAnsi="Times New Roman" w:cs="Times New Roman"/>
          <w:b/>
          <w:sz w:val="28"/>
          <w:szCs w:val="28"/>
        </w:rPr>
        <w:t>3</w:t>
      </w:r>
      <w:r w:rsidR="00E7022D" w:rsidRPr="00B6612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D55A8" w:rsidRPr="00B66125" w:rsidRDefault="003D55A8" w:rsidP="00B66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</w:t>
      </w:r>
      <w:r w:rsidR="00210B35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210B35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E646FC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-привлечение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:rsidR="008528A9" w:rsidRPr="00BA22EC" w:rsidRDefault="008528A9" w:rsidP="008528A9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Default="008528A9" w:rsidP="008528A9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:rsidR="008528A9" w:rsidRDefault="008528A9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3107F" w:rsidRDefault="0073107F" w:rsidP="008528A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обустроенных комплексных</w:t>
            </w:r>
            <w:r w:rsidR="00D75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игровых площадок</w:t>
            </w:r>
            <w:r w:rsidR="00867F6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7F66" w:rsidRPr="00925FFA" w:rsidRDefault="00867F66" w:rsidP="0085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многофункциональных  площадок.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CA5A3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5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A5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C14D1" w:rsidRDefault="000C0B79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345E9" w:rsidRDefault="008528A9" w:rsidP="00A3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год- 2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62088" w:rsidRPr="002C14D1" w:rsidRDefault="00A345E9" w:rsidP="00A3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- 2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3DC" w:rsidRDefault="008528A9" w:rsidP="00A345E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28A9" w:rsidRDefault="00F413DC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  <w:r w:rsidR="00362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4ACF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04ACF" w:rsidRDefault="00A345E9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-  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04AC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.  </w:t>
            </w:r>
          </w:p>
          <w:p w:rsidR="00C04ACF" w:rsidRPr="00BA22EC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2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2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общественных территорий поселения;</w:t>
      </w:r>
    </w:p>
    <w:p w:rsidR="00C36271" w:rsidRDefault="005D12F8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BA" w:rsidRPr="00CA3551" w:rsidRDefault="004E7BF0" w:rsidP="005D12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2020</w:t>
      </w:r>
      <w:r w:rsidR="005D12F8">
        <w:rPr>
          <w:rFonts w:ascii="Times New Roman" w:hAnsi="Times New Roman" w:cs="Times New Roman"/>
          <w:sz w:val="28"/>
          <w:szCs w:val="28"/>
        </w:rPr>
        <w:t>1</w:t>
      </w:r>
      <w:r w:rsidR="00AC2891">
        <w:rPr>
          <w:rFonts w:ascii="Times New Roman" w:hAnsi="Times New Roman" w:cs="Times New Roman"/>
          <w:sz w:val="28"/>
          <w:szCs w:val="28"/>
        </w:rPr>
        <w:t>-202</w:t>
      </w:r>
      <w:r w:rsidR="005D12F8">
        <w:rPr>
          <w:rFonts w:ascii="Times New Roman" w:hAnsi="Times New Roman" w:cs="Times New Roman"/>
          <w:sz w:val="28"/>
          <w:szCs w:val="28"/>
        </w:rPr>
        <w:t>3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CA3551" w:rsidTr="00D82992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82992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97576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992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92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76" w:rsidRPr="00CA3551" w:rsidTr="00D8299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4975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D8299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CA3551" w:rsidTr="00D82992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497576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49757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</w:t>
            </w:r>
            <w:r w:rsidR="00497576">
              <w:rPr>
                <w:rFonts w:ascii="Times New Roman" w:hAnsi="Times New Roman" w:cs="Times New Roman"/>
                <w:sz w:val="28"/>
                <w:szCs w:val="28"/>
              </w:rPr>
              <w:t>ого образования;</w:t>
            </w:r>
          </w:p>
          <w:p w:rsidR="00FA3DDF" w:rsidRPr="00CA3551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D112DC" w:rsidRPr="00CA3551" w:rsidTr="00D8299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4D5D37" w:rsidRPr="00CA3551" w:rsidTr="00D8299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8299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D8299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D8299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D8299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D8299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19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D8299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EB9" w:rsidRPr="0087169B" w:rsidTr="00D82992">
        <w:trPr>
          <w:trHeight w:val="432"/>
        </w:trPr>
        <w:tc>
          <w:tcPr>
            <w:tcW w:w="607" w:type="dxa"/>
            <w:vMerge w:val="restart"/>
          </w:tcPr>
          <w:p w:rsidR="00F57EB9" w:rsidRPr="0087169B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F57EB9" w:rsidRPr="00015B87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F57EB9" w:rsidRPr="00015B87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F57EB9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57EB9" w:rsidRPr="0087169B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3410,0</w:t>
            </w:r>
          </w:p>
        </w:tc>
        <w:tc>
          <w:tcPr>
            <w:tcW w:w="851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803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 w:val="restart"/>
          </w:tcPr>
          <w:p w:rsidR="00F57EB9" w:rsidRPr="0087169B" w:rsidRDefault="00F57EB9" w:rsidP="00F57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F57EB9" w:rsidRPr="0087169B" w:rsidRDefault="00F57EB9" w:rsidP="00F57EB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F57EB9" w:rsidRPr="0087169B" w:rsidRDefault="00F57EB9" w:rsidP="00F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FDD" w:rsidRPr="0087169B" w:rsidTr="00D82992">
        <w:trPr>
          <w:trHeight w:val="432"/>
        </w:trPr>
        <w:tc>
          <w:tcPr>
            <w:tcW w:w="60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72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FDD" w:rsidRPr="0087169B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7FDD" w:rsidRPr="00E12AE4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3C5565">
        <w:trPr>
          <w:trHeight w:val="4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DD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FDD" w:rsidRPr="00E12AE4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32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457FDD" w:rsidRPr="0087169B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DF" w:rsidRPr="0087169B" w:rsidTr="00D82992">
        <w:trPr>
          <w:trHeight w:val="432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432"/>
        </w:trPr>
        <w:tc>
          <w:tcPr>
            <w:tcW w:w="607" w:type="dxa"/>
            <w:vMerge w:val="restart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E21DF" w:rsidRDefault="00BE21DF" w:rsidP="00BE21D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576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DF" w:rsidRPr="0087169B" w:rsidTr="00D82992">
        <w:trPr>
          <w:trHeight w:val="576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412"/>
        </w:trPr>
        <w:tc>
          <w:tcPr>
            <w:tcW w:w="607" w:type="dxa"/>
            <w:vMerge w:val="restart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879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380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DF" w:rsidRPr="0087169B" w:rsidTr="00D82992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3C5565">
        <w:trPr>
          <w:trHeight w:val="670"/>
        </w:trPr>
        <w:tc>
          <w:tcPr>
            <w:tcW w:w="607" w:type="dxa"/>
            <w:vMerge w:val="restart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3C5565">
        <w:trPr>
          <w:trHeight w:val="670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3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457FDD" w:rsidRPr="00192D8E" w:rsidRDefault="00457FDD" w:rsidP="00457FDD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43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1DF" w:rsidRPr="00192D8E" w:rsidRDefault="00BE21DF" w:rsidP="00BE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1DF" w:rsidRPr="00015B87" w:rsidRDefault="00BE21DF" w:rsidP="00BE2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3C5565">
        <w:trPr>
          <w:trHeight w:val="18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BE21DF" w:rsidRPr="00192D8E" w:rsidRDefault="00BE21DF" w:rsidP="00BE21DF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</w:t>
            </w:r>
            <w:r w:rsidRPr="006C299E">
              <w:rPr>
                <w:rFonts w:ascii="Times New Roman" w:hAnsi="Times New Roman" w:cs="Times New Roman"/>
              </w:rPr>
              <w:lastRenderedPageBreak/>
              <w:t>территорий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3C5565">
        <w:trPr>
          <w:trHeight w:val="183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E21DF" w:rsidRPr="00015B87" w:rsidRDefault="00BE21DF" w:rsidP="00BE2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BE21DF">
        <w:rPr>
          <w:rFonts w:ascii="Times New Roman" w:hAnsi="Times New Roman" w:cs="Times New Roman"/>
          <w:sz w:val="28"/>
          <w:szCs w:val="28"/>
        </w:rPr>
        <w:t>6870,0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19BB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B" w:rsidRPr="00CA3551" w:rsidRDefault="00A319BB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626F88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D82992" w:rsidRDefault="00D82992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D82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497576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82" w:rsidRDefault="00882482" w:rsidP="008B7A11">
      <w:r>
        <w:separator/>
      </w:r>
    </w:p>
  </w:endnote>
  <w:endnote w:type="continuationSeparator" w:id="0">
    <w:p w:rsidR="00882482" w:rsidRDefault="00882482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82" w:rsidRDefault="00882482" w:rsidP="008B7A11">
      <w:r>
        <w:separator/>
      </w:r>
    </w:p>
  </w:footnote>
  <w:footnote w:type="continuationSeparator" w:id="0">
    <w:p w:rsidR="00882482" w:rsidRDefault="00882482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5072"/>
    <w:rsid w:val="000746A7"/>
    <w:rsid w:val="000839D4"/>
    <w:rsid w:val="00085314"/>
    <w:rsid w:val="00085944"/>
    <w:rsid w:val="0009198E"/>
    <w:rsid w:val="000929F0"/>
    <w:rsid w:val="000A2FF9"/>
    <w:rsid w:val="000B1C44"/>
    <w:rsid w:val="000C0B79"/>
    <w:rsid w:val="000C3909"/>
    <w:rsid w:val="000D334B"/>
    <w:rsid w:val="000D5740"/>
    <w:rsid w:val="000D63FA"/>
    <w:rsid w:val="000E18F6"/>
    <w:rsid w:val="000F1E6B"/>
    <w:rsid w:val="0010020A"/>
    <w:rsid w:val="00101B5E"/>
    <w:rsid w:val="00111DD9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62A0"/>
    <w:rsid w:val="002466B0"/>
    <w:rsid w:val="002560FA"/>
    <w:rsid w:val="00260114"/>
    <w:rsid w:val="00260E51"/>
    <w:rsid w:val="00261046"/>
    <w:rsid w:val="00264553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5F3E"/>
    <w:rsid w:val="00330571"/>
    <w:rsid w:val="00350003"/>
    <w:rsid w:val="003524E5"/>
    <w:rsid w:val="00357E80"/>
    <w:rsid w:val="00362364"/>
    <w:rsid w:val="00371335"/>
    <w:rsid w:val="0037157D"/>
    <w:rsid w:val="003A518F"/>
    <w:rsid w:val="003A79B7"/>
    <w:rsid w:val="003B310C"/>
    <w:rsid w:val="003C5565"/>
    <w:rsid w:val="003D52E2"/>
    <w:rsid w:val="003D55A8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7F58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25F82"/>
    <w:rsid w:val="00533B93"/>
    <w:rsid w:val="00535EE3"/>
    <w:rsid w:val="00540B46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C65BF"/>
    <w:rsid w:val="005D12F8"/>
    <w:rsid w:val="005D3489"/>
    <w:rsid w:val="005D39F9"/>
    <w:rsid w:val="005E2E2C"/>
    <w:rsid w:val="005E7BF7"/>
    <w:rsid w:val="0060462F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39F6"/>
    <w:rsid w:val="006F06F0"/>
    <w:rsid w:val="00703B7C"/>
    <w:rsid w:val="00721D1C"/>
    <w:rsid w:val="0073107F"/>
    <w:rsid w:val="00731CC6"/>
    <w:rsid w:val="00736F1E"/>
    <w:rsid w:val="007419D2"/>
    <w:rsid w:val="0074661B"/>
    <w:rsid w:val="007519D3"/>
    <w:rsid w:val="007525E2"/>
    <w:rsid w:val="00774521"/>
    <w:rsid w:val="0077567D"/>
    <w:rsid w:val="007806D4"/>
    <w:rsid w:val="0078258E"/>
    <w:rsid w:val="00784488"/>
    <w:rsid w:val="00793166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2482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7BB3"/>
    <w:rsid w:val="008F4949"/>
    <w:rsid w:val="008F5C0F"/>
    <w:rsid w:val="00901BF5"/>
    <w:rsid w:val="00904BF2"/>
    <w:rsid w:val="009224B1"/>
    <w:rsid w:val="00933CA2"/>
    <w:rsid w:val="009428BF"/>
    <w:rsid w:val="00947535"/>
    <w:rsid w:val="009520B5"/>
    <w:rsid w:val="0095449D"/>
    <w:rsid w:val="0096228B"/>
    <w:rsid w:val="009639F3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45471"/>
    <w:rsid w:val="00B50401"/>
    <w:rsid w:val="00B62989"/>
    <w:rsid w:val="00B64916"/>
    <w:rsid w:val="00B66125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BE21DF"/>
    <w:rsid w:val="00C00FA6"/>
    <w:rsid w:val="00C04ACF"/>
    <w:rsid w:val="00C22745"/>
    <w:rsid w:val="00C36271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5F72"/>
    <w:rsid w:val="00D802E5"/>
    <w:rsid w:val="00D82992"/>
    <w:rsid w:val="00D86D8F"/>
    <w:rsid w:val="00D93046"/>
    <w:rsid w:val="00D93D29"/>
    <w:rsid w:val="00DA1E0B"/>
    <w:rsid w:val="00DD217B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D33C5"/>
    <w:rsid w:val="00EF4A0F"/>
    <w:rsid w:val="00EF5B54"/>
    <w:rsid w:val="00EF7D57"/>
    <w:rsid w:val="00F00384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92C33"/>
    <w:rsid w:val="00F92DC3"/>
    <w:rsid w:val="00FA3DDF"/>
    <w:rsid w:val="00FA7262"/>
    <w:rsid w:val="00FB3938"/>
    <w:rsid w:val="00FC2AB0"/>
    <w:rsid w:val="00FC2E38"/>
    <w:rsid w:val="00FC6137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C423-57E4-4329-9A88-825E961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18E8-8FB9-496B-86BB-6B1366C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2020-09-14T12:10:00Z</cp:lastPrinted>
  <dcterms:created xsi:type="dcterms:W3CDTF">2020-10-06T07:21:00Z</dcterms:created>
  <dcterms:modified xsi:type="dcterms:W3CDTF">2020-10-06T07:21:00Z</dcterms:modified>
</cp:coreProperties>
</file>