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DE" w:rsidRDefault="00CB0188" w:rsidP="00CB01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B0188" w:rsidRDefault="00CB0188" w:rsidP="00CB01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C80921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896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20896">
        <w:rPr>
          <w:rFonts w:ascii="Times New Roman" w:hAnsi="Times New Roman" w:cs="Times New Roman"/>
          <w:bCs/>
          <w:sz w:val="28"/>
          <w:szCs w:val="28"/>
        </w:rPr>
        <w:t>2022-2024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50"/>
      </w:tblGrid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CB018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CB018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CB0188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CB0188" w:rsidRDefault="008D3E7C" w:rsidP="00580599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0C42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Безводного </w:t>
            </w: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="00FF0571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CB018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764884" w:rsidRPr="00CB0188" w:rsidRDefault="00514B2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CB01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4216A" w:rsidRPr="00CB0188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  <w:r w:rsidR="00736FD0" w:rsidRPr="00CB01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0C42" w:rsidRPr="00CB0188">
              <w:rPr>
                <w:rFonts w:ascii="Times New Roman" w:hAnsi="Times New Roman"/>
                <w:sz w:val="24"/>
                <w:szCs w:val="24"/>
              </w:rPr>
              <w:t>Безводно</w:t>
            </w:r>
            <w:r w:rsidR="00736FD0" w:rsidRPr="00CB0188">
              <w:rPr>
                <w:rFonts w:ascii="Times New Roman" w:hAnsi="Times New Roman"/>
                <w:sz w:val="24"/>
                <w:szCs w:val="24"/>
              </w:rPr>
              <w:t>м</w:t>
            </w:r>
            <w:r w:rsidR="002A50C2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36FD0" w:rsidRPr="00CB018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736FD0" w:rsidRPr="00CB01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="0004216A" w:rsidRPr="00CB0188">
              <w:rPr>
                <w:rFonts w:ascii="Times New Roman" w:hAnsi="Times New Roman"/>
                <w:sz w:val="24"/>
                <w:szCs w:val="24"/>
              </w:rPr>
              <w:t>»</w:t>
            </w:r>
            <w:r w:rsidR="00C75BAA" w:rsidRPr="00CB0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7E03" w:rsidRPr="00CB0188" w:rsidRDefault="00514B2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CB01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4216A" w:rsidRPr="00CB0188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B0188">
              <w:rPr>
                <w:rFonts w:ascii="Times New Roman" w:hAnsi="Times New Roman"/>
                <w:sz w:val="24"/>
                <w:szCs w:val="24"/>
              </w:rPr>
              <w:t>Безводном</w:t>
            </w:r>
            <w:r w:rsidR="002A50C2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CB0188"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</w:t>
            </w:r>
            <w:r w:rsidR="0004216A" w:rsidRPr="00CB0188">
              <w:rPr>
                <w:rFonts w:ascii="Times New Roman" w:hAnsi="Times New Roman"/>
                <w:sz w:val="24"/>
                <w:szCs w:val="24"/>
              </w:rPr>
              <w:t>»</w:t>
            </w:r>
            <w:r w:rsid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322586" w:rsidRPr="00CB018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</w:t>
            </w:r>
            <w:r w:rsidR="00764884" w:rsidRPr="00CB01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C250ED" w:rsidRPr="00CB0188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764884" w:rsidRPr="00CB0188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A50C2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12162" w:rsidRPr="00CB0188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599" w:rsidRPr="00CB01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F34165" w:rsidRPr="00CB018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212162" w:rsidRPr="00CB0188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</w:t>
            </w:r>
            <w:r w:rsidR="00212162" w:rsidRPr="00CB01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CB0188"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="002A50C2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CB0188">
              <w:rPr>
                <w:rFonts w:ascii="Times New Roman" w:hAnsi="Times New Roman"/>
                <w:sz w:val="24"/>
                <w:szCs w:val="24"/>
              </w:rPr>
              <w:t>социальной поддержки отдельных категорий граждан;</w:t>
            </w:r>
          </w:p>
          <w:p w:rsidR="00F34165" w:rsidRPr="00CB0188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91" w:rsidRPr="00CB0188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580599" w:rsidRPr="00CB0188" w:rsidRDefault="00580599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21A61" w:rsidRPr="00CB0188" w:rsidRDefault="00A21A61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Pr="00CB0188" w:rsidRDefault="006E783B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A61" w:rsidRPr="00CB0188">
              <w:rPr>
                <w:rFonts w:ascii="Times New Roman" w:hAnsi="Times New Roman" w:cs="Times New Roman"/>
                <w:sz w:val="24"/>
                <w:szCs w:val="24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CB0188" w:rsidRDefault="00DC7859" w:rsidP="00A21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B0188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CB018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2701F6" w:rsidRPr="00CB0188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граждан, получивших право</w:t>
            </w:r>
            <w:r w:rsidR="001828A3" w:rsidRPr="00CB018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 w:rsidR="001828A3" w:rsidRPr="00CB0188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мерами социальной поддержки;</w:t>
            </w:r>
          </w:p>
          <w:p w:rsidR="00FE3E13" w:rsidRPr="00CB0188" w:rsidRDefault="000E58C1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  <w:p w:rsidR="00F34165" w:rsidRPr="00CB0188" w:rsidRDefault="002701F6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социально ориентированных некоммерческих организаций, которым оказана</w:t>
            </w:r>
            <w:r w:rsidR="002A50C2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F3" w:rsidRPr="00CB0188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A45630" w:rsidRPr="00CB01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CB018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C250ED" w:rsidRPr="00CB0188" w:rsidRDefault="00820896" w:rsidP="003F2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CB018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CB0188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2A50C2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89" w:rsidRPr="00CB0188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A021C0" w:rsidRPr="00CB018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BC7926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34165" w:rsidRPr="00CB0188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F34165" w:rsidRPr="00CB0188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CB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CB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506BA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389"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65" w:rsidRPr="00CB0188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CB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CB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D4389" w:rsidRPr="00CB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89"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CB0188" w:rsidRDefault="00FA66EE" w:rsidP="00CB0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CB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CB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41F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D4389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- 335,1</w:t>
            </w:r>
            <w:r w:rsidR="00515B1D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CB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736FD0" w:rsidRPr="00CB0188" w:rsidRDefault="00736FD0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736FD0" w:rsidRPr="00CB0188" w:rsidRDefault="00736FD0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  <w:r w:rsidR="00DD1EDE" w:rsidRPr="00CB0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B0188" w:rsidTr="00CB0188">
        <w:tc>
          <w:tcPr>
            <w:tcW w:w="354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CB0188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5B6454" w:rsidRPr="00CB01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50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B157FA" w:rsidRPr="00CB0188" w:rsidRDefault="00440CAE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  <w:r w:rsidR="005B6454" w:rsidRPr="00CB01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</w:t>
            </w:r>
            <w:r w:rsidR="008B4C0E" w:rsidRPr="00CB01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165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B6454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0C42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CB01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B6454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далее (далее - руководители ТОС) проводится значительная организационная забота в области наведения санитарного порядка </w:t>
      </w:r>
      <w:r w:rsidRPr="00C80921">
        <w:rPr>
          <w:rFonts w:ascii="Times New Roman" w:hAnsi="Times New Roman"/>
          <w:sz w:val="28"/>
          <w:szCs w:val="28"/>
        </w:rPr>
        <w:lastRenderedPageBreak/>
        <w:t>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Pr="00820896">
        <w:rPr>
          <w:rFonts w:ascii="Times New Roman" w:hAnsi="Times New Roman"/>
          <w:b/>
          <w:sz w:val="28"/>
          <w:szCs w:val="28"/>
        </w:rPr>
        <w:t xml:space="preserve">от </w:t>
      </w:r>
      <w:r w:rsidR="0042395F" w:rsidRPr="00820896">
        <w:rPr>
          <w:rFonts w:ascii="Times New Roman" w:hAnsi="Times New Roman"/>
          <w:b/>
          <w:sz w:val="28"/>
          <w:szCs w:val="28"/>
        </w:rPr>
        <w:t>2</w:t>
      </w:r>
      <w:r w:rsidR="00C72B4E" w:rsidRPr="00820896">
        <w:rPr>
          <w:rFonts w:ascii="Times New Roman" w:hAnsi="Times New Roman"/>
          <w:b/>
          <w:sz w:val="28"/>
          <w:szCs w:val="28"/>
        </w:rPr>
        <w:t>0</w:t>
      </w:r>
      <w:r w:rsidR="0042395F" w:rsidRPr="008208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395F" w:rsidRPr="00820896">
        <w:rPr>
          <w:rFonts w:ascii="Times New Roman" w:hAnsi="Times New Roman"/>
          <w:b/>
          <w:sz w:val="28"/>
          <w:szCs w:val="28"/>
        </w:rPr>
        <w:t>декабря</w:t>
      </w:r>
      <w:r w:rsidR="00C30AFC" w:rsidRPr="00820896">
        <w:rPr>
          <w:rFonts w:ascii="Times New Roman" w:hAnsi="Times New Roman"/>
          <w:b/>
          <w:sz w:val="28"/>
          <w:szCs w:val="28"/>
        </w:rPr>
        <w:t xml:space="preserve"> 20</w:t>
      </w:r>
      <w:r w:rsidR="00A021C0" w:rsidRPr="00820896">
        <w:rPr>
          <w:rFonts w:ascii="Times New Roman" w:hAnsi="Times New Roman"/>
          <w:b/>
          <w:sz w:val="28"/>
          <w:szCs w:val="28"/>
        </w:rPr>
        <w:t>19</w:t>
      </w:r>
      <w:r w:rsidR="00517BF9" w:rsidRPr="00820896">
        <w:rPr>
          <w:rFonts w:ascii="Times New Roman" w:hAnsi="Times New Roman"/>
          <w:b/>
          <w:sz w:val="28"/>
          <w:szCs w:val="28"/>
        </w:rPr>
        <w:t xml:space="preserve"> </w:t>
      </w:r>
      <w:r w:rsidR="00514B2D" w:rsidRPr="00820896">
        <w:rPr>
          <w:rFonts w:ascii="Times New Roman" w:hAnsi="Times New Roman"/>
          <w:b/>
          <w:sz w:val="28"/>
          <w:szCs w:val="28"/>
        </w:rPr>
        <w:t xml:space="preserve">г. </w:t>
      </w:r>
      <w:r w:rsidRPr="00820896">
        <w:rPr>
          <w:rFonts w:ascii="Times New Roman" w:hAnsi="Times New Roman"/>
          <w:b/>
          <w:sz w:val="28"/>
          <w:szCs w:val="28"/>
        </w:rPr>
        <w:t xml:space="preserve">№ </w:t>
      </w:r>
      <w:r w:rsidR="00780182" w:rsidRPr="00820896">
        <w:rPr>
          <w:rFonts w:ascii="Times New Roman" w:hAnsi="Times New Roman"/>
          <w:b/>
          <w:sz w:val="28"/>
          <w:szCs w:val="28"/>
        </w:rPr>
        <w:t>114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</w:t>
      </w:r>
      <w:r w:rsidR="00CB0188">
        <w:rPr>
          <w:rFonts w:ascii="Times New Roman" w:hAnsi="Times New Roman"/>
          <w:sz w:val="28"/>
          <w:szCs w:val="28"/>
        </w:rPr>
        <w:t>-</w:t>
      </w:r>
      <w:r w:rsidRPr="00C80921">
        <w:rPr>
          <w:rFonts w:ascii="Times New Roman" w:hAnsi="Times New Roman"/>
          <w:sz w:val="28"/>
          <w:szCs w:val="28"/>
        </w:rPr>
        <w:t xml:space="preserve">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A021C0">
        <w:rPr>
          <w:rFonts w:ascii="Times New Roman" w:hAnsi="Times New Roman"/>
          <w:sz w:val="28"/>
          <w:szCs w:val="28"/>
        </w:rPr>
        <w:t>280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рублей. Объем средств местного бюджета, направляемых на финансирование мероприятий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CB0188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A07EC1">
        <w:rPr>
          <w:rFonts w:ascii="Times New Roman" w:hAnsi="Times New Roman"/>
          <w:sz w:val="28"/>
          <w:szCs w:val="28"/>
        </w:rPr>
        <w:t>165 тысяч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42"/>
        <w:gridCol w:w="850"/>
        <w:gridCol w:w="75"/>
        <w:gridCol w:w="917"/>
        <w:gridCol w:w="75"/>
        <w:gridCol w:w="776"/>
        <w:gridCol w:w="75"/>
        <w:gridCol w:w="702"/>
        <w:gridCol w:w="75"/>
      </w:tblGrid>
      <w:tr w:rsidR="00580599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B018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B018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B018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599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B018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B018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0896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CB018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B0188" w:rsidTr="00CB0188">
        <w:trPr>
          <w:gridAfter w:val="1"/>
          <w:wAfter w:w="75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B018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B0188" w:rsidRDefault="00326ADB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B0188" w:rsidRDefault="00326ADB" w:rsidP="008030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B0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20896"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B0188" w:rsidRDefault="00326ADB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88" w:rsidRDefault="00326ADB" w:rsidP="00CB01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326ADB" w:rsidRPr="00CB0188" w:rsidRDefault="00326ADB" w:rsidP="00CB01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B0188" w:rsidRDefault="00326ADB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Pr="00CB0188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CB0188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Pr="00CB0188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CB0188" w:rsidRDefault="00A07EC1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CB0188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поддержка общественно полезных программ социально ориентированных некоммерческих организаций, направленных на развитие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B0188" w:rsidRDefault="00326ADB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B0188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B018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B018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</w:t>
            </w:r>
            <w:r w:rsidR="00CB0188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 w:rsidRPr="00CB0188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B018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514B2D" w:rsidP="00BE1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CB0188" w:rsidRDefault="00BE17FD" w:rsidP="00CB01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BE17FD" w:rsidRPr="00CB0188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E17FD" w:rsidRPr="00CB0188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BE17FD" w:rsidRPr="00CB0188" w:rsidRDefault="004D7259" w:rsidP="00CB01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  <w:r w:rsidR="007B3E6B" w:rsidRPr="00CB0188"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514B2D" w:rsidRPr="00CB0188" w:rsidTr="00CB0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B0188" w:rsidRDefault="00514B2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B0188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B0188" w:rsidTr="00CB0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Курганинского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B0188" w:rsidTr="00CB0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B0188" w:rsidTr="00CB01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2542F4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право на пользование</w:t>
            </w:r>
            <w:r w:rsidR="00CB0188"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льготами;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01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B018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CB0188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CB0188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514B2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B0188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B0188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некоммерческих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B0188">
              <w:t xml:space="preserve"> </w:t>
            </w:r>
            <w:r w:rsidRPr="00CB0188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CB0188" w:rsidRDefault="00BE17FD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CB0188" w:rsidRDefault="00BE17FD" w:rsidP="00CB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  <w:r w:rsidR="00CB0188"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BE17FD" w:rsidP="00CB01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both"/>
              <w:rPr>
                <w:rStyle w:val="FontStyle57"/>
                <w:sz w:val="24"/>
                <w:szCs w:val="24"/>
              </w:rPr>
            </w:pPr>
            <w:r w:rsidRPr="00CB0188">
              <w:rPr>
                <w:rStyle w:val="FontStyle57"/>
                <w:sz w:val="24"/>
                <w:szCs w:val="24"/>
              </w:rPr>
              <w:t>О</w:t>
            </w:r>
            <w:r w:rsidR="00514B2D" w:rsidRPr="00CB0188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CB0188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CB0188" w:rsidRDefault="00BE17FD" w:rsidP="00CB01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BE17FD" w:rsidP="00CB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8A22A9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8A22A9" w:rsidRPr="00CB0188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CB0188" w:rsidRDefault="008A22A9" w:rsidP="00CB018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BE17FD" w:rsidP="00CB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B0188" w:rsidRDefault="002542F4" w:rsidP="00CB0188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CB0188">
              <w:rPr>
                <w:rStyle w:val="FontStyle16"/>
                <w:i w:val="0"/>
                <w:sz w:val="24"/>
                <w:szCs w:val="24"/>
              </w:rPr>
              <w:t>Число граждан, получивших право на пользование</w:t>
            </w:r>
            <w:r w:rsidR="00CB0188" w:rsidRPr="00CB0188">
              <w:rPr>
                <w:rStyle w:val="FontStyle16"/>
                <w:i w:val="0"/>
                <w:sz w:val="24"/>
                <w:szCs w:val="24"/>
              </w:rPr>
              <w:t xml:space="preserve"> </w:t>
            </w:r>
            <w:r w:rsidRPr="00CB0188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761C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8A22A9" w:rsidP="00BE17FD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B0188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CB0188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8A22A9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B0188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B0188" w:rsidTr="00CB0188">
        <w:trPr>
          <w:gridAfter w:val="1"/>
          <w:wAfter w:w="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CB0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B018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0896">
        <w:rPr>
          <w:rFonts w:ascii="Times New Roman" w:hAnsi="Times New Roman" w:cs="Times New Roman"/>
          <w:bCs/>
          <w:sz w:val="28"/>
          <w:szCs w:val="28"/>
        </w:rPr>
        <w:t>2022-2024</w:t>
      </w:r>
      <w:r w:rsidR="00CB0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>годы состоит из подпрограмм:</w:t>
      </w:r>
    </w:p>
    <w:p w:rsidR="008A22A9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80921">
        <w:rPr>
          <w:rFonts w:ascii="Times New Roman" w:hAnsi="Times New Roman"/>
          <w:sz w:val="28"/>
          <w:szCs w:val="28"/>
        </w:rPr>
        <w:t>1);</w:t>
      </w:r>
    </w:p>
    <w:p w:rsidR="00E64480" w:rsidRPr="00C80921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>(приложение 2</w:t>
      </w:r>
      <w:r w:rsidRPr="00C80921">
        <w:rPr>
          <w:rFonts w:ascii="Times New Roman" w:hAnsi="Times New Roman"/>
          <w:sz w:val="28"/>
          <w:szCs w:val="28"/>
        </w:rPr>
        <w:t>).</w:t>
      </w:r>
    </w:p>
    <w:p w:rsidR="008A22A9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CB0188" w:rsidTr="00CB018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CB0188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CB0188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CB0188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CB0188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CB0188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CB0188" w:rsidTr="00CB018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4D725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 w:rsidRPr="00CB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CB0188">
              <w:rPr>
                <w:rFonts w:ascii="Times New Roman" w:hAnsi="Times New Roman"/>
                <w:sz w:val="24"/>
                <w:szCs w:val="24"/>
              </w:rPr>
              <w:t>2</w:t>
            </w:r>
            <w:r w:rsidR="00820896" w:rsidRPr="00CB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 w:rsidRPr="00CB0188">
              <w:rPr>
                <w:rFonts w:ascii="Times New Roman" w:hAnsi="Times New Roman"/>
                <w:sz w:val="24"/>
                <w:szCs w:val="24"/>
              </w:rPr>
              <w:t>4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C3E" w:rsidRPr="00CB0188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CB0188" w:rsidTr="00CB018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C3E" w:rsidRPr="00CB0188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CB0188" w:rsidTr="00CB0188">
        <w:trPr>
          <w:trHeight w:val="43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B0188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E3948" w:rsidRPr="00CB0188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</w:pPr>
            <w:r w:rsidRPr="00CB0188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B0188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  <w:p w:rsidR="002E3948" w:rsidRPr="00CB0188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F87433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F8743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A27" w:rsidRPr="00CB0188" w:rsidRDefault="00313A27" w:rsidP="0031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  <w:r w:rsidR="00CB0188"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  <w:p w:rsidR="002E3948" w:rsidRPr="00CB0188" w:rsidRDefault="002E3948" w:rsidP="002E3948">
            <w:pPr>
              <w:pStyle w:val="Style24"/>
              <w:widowControl/>
            </w:pPr>
          </w:p>
          <w:p w:rsidR="002E3948" w:rsidRPr="00CB0188" w:rsidRDefault="00BB7ED3" w:rsidP="002E3948">
            <w:pPr>
              <w:pStyle w:val="Style24"/>
            </w:pPr>
            <w:r w:rsidRPr="00CB0188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948" w:rsidRPr="00CB0188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E3948" w:rsidRPr="00CB0188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433" w:rsidRPr="00CB0188" w:rsidTr="00CB0188">
        <w:trPr>
          <w:trHeight w:val="246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24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433" w:rsidRPr="00CB0188" w:rsidTr="00CB0188">
        <w:trPr>
          <w:trHeight w:val="43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</w:pPr>
            <w:r w:rsidRPr="00CB0188">
              <w:t>Мероприятие 1</w:t>
            </w:r>
          </w:p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</w:pPr>
            <w:r w:rsidRPr="00CB0188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24"/>
              <w:widowControl/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433" w:rsidRPr="00CB0188" w:rsidTr="00CB0188">
        <w:trPr>
          <w:trHeight w:val="43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433" w:rsidRPr="00CB0188" w:rsidRDefault="00F87433" w:rsidP="00F87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E70" w:rsidRPr="00CB0188" w:rsidTr="00CB0188">
        <w:trPr>
          <w:trHeight w:val="43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F2E70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F2E70" w:rsidRPr="00CB0188" w:rsidRDefault="00EF2E70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F2E70" w:rsidP="004D41CA">
            <w:pPr>
              <w:pStyle w:val="Style39"/>
              <w:widowControl/>
              <w:spacing w:line="240" w:lineRule="auto"/>
              <w:ind w:right="86"/>
              <w:jc w:val="left"/>
            </w:pPr>
            <w:r w:rsidRPr="00CB0188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CB0188">
              <w:t xml:space="preserve">Предоставление ежегодных и ежемесячных денежных выплат отдельным категориям граждан </w:t>
            </w:r>
          </w:p>
          <w:p w:rsidR="00EF2E70" w:rsidRPr="00CB0188" w:rsidRDefault="00EF2E70" w:rsidP="004D41C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F2E70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D2B28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2E3948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D2B28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D2B28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</w:t>
            </w:r>
            <w:r w:rsidR="002E3948" w:rsidRPr="00CB01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2E70" w:rsidRPr="00CB0188" w:rsidRDefault="009843AE" w:rsidP="00984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eastAsia="TimesNewRomanPSMT" w:hAnsi="Times New Roman"/>
                <w:sz w:val="24"/>
                <w:szCs w:val="24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2E70" w:rsidRPr="00CB0188" w:rsidRDefault="00EF2E70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ED2B28" w:rsidRPr="00CB0188" w:rsidTr="00CB0188">
        <w:trPr>
          <w:trHeight w:val="1395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2B28" w:rsidRPr="00CB0188" w:rsidTr="00CB018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2B28" w:rsidRPr="00CB0188" w:rsidRDefault="00ED2B28" w:rsidP="00CB018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Style24"/>
              <w:widowControl/>
            </w:pPr>
            <w:r w:rsidRPr="00CB0188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1388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731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CB0188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:rsidR="00ED2B28" w:rsidRPr="00CB0188" w:rsidRDefault="00ED2B28" w:rsidP="00CB0188">
            <w:pPr>
              <w:rPr>
                <w:rStyle w:val="FontStyle57"/>
                <w:sz w:val="24"/>
                <w:szCs w:val="24"/>
              </w:rPr>
            </w:pPr>
            <w:r w:rsidRPr="00CB0188">
              <w:rPr>
                <w:rStyle w:val="FontStyle23"/>
                <w:sz w:val="24"/>
                <w:szCs w:val="24"/>
              </w:rPr>
              <w:t>Предоставление</w:t>
            </w:r>
            <w:r w:rsidR="00CB0188" w:rsidRPr="00CB0188">
              <w:rPr>
                <w:rStyle w:val="FontStyle23"/>
                <w:sz w:val="24"/>
                <w:szCs w:val="24"/>
              </w:rPr>
              <w:t xml:space="preserve"> </w:t>
            </w:r>
            <w:r w:rsidRPr="00CB0188">
              <w:rPr>
                <w:rStyle w:val="FontStyle23"/>
                <w:sz w:val="24"/>
                <w:szCs w:val="24"/>
              </w:rPr>
              <w:t>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CB0188">
            <w:pPr>
              <w:jc w:val="both"/>
              <w:rPr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федеральными и краевыми законами.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2B28" w:rsidRPr="00CB0188" w:rsidTr="00CB0188">
        <w:trPr>
          <w:trHeight w:val="408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Style24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2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2B28" w:rsidRPr="00CB0188" w:rsidTr="00CB0188">
        <w:trPr>
          <w:trHeight w:val="67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188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 xml:space="preserve">Дальнейшее развитие социально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</w:t>
            </w: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ED2B28" w:rsidRPr="00CB0188" w:rsidTr="00CB0188">
        <w:trPr>
          <w:trHeight w:val="409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67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пенсион-ерам, оказавшимся в трудной жизненной ситуации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67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67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CB0188" w:rsidTr="00CB0188">
        <w:trPr>
          <w:trHeight w:val="67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88"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88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B28" w:rsidRPr="00CB0188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A77E03" w:rsidP="00B30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ED2B28">
        <w:rPr>
          <w:rFonts w:ascii="Times New Roman" w:hAnsi="Times New Roman" w:cs="Times New Roman"/>
          <w:sz w:val="28"/>
          <w:szCs w:val="28"/>
        </w:rPr>
        <w:t>1005,3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3515D6" w:rsidTr="003515D6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3515D6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345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371A22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E4345" w:rsidRPr="003515D6" w:rsidTr="003515D6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7E4345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FA66EE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6EBB"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FA66EE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515D6" w:rsidRDefault="00FA66EE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345" w:rsidRPr="003515D6" w:rsidTr="00B30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515D6" w:rsidRDefault="007E4345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95F" w:rsidRPr="003515D6" w:rsidTr="00B30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3515D6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3515D6">
              <w:rPr>
                <w:rFonts w:ascii="Times New Roman" w:hAnsi="Times New Roman"/>
                <w:sz w:val="24"/>
                <w:szCs w:val="24"/>
              </w:rPr>
              <w:t xml:space="preserve"> «Развитие мер социальной поддержки отдельных категорий граждан в </w:t>
            </w:r>
            <w:r w:rsidRPr="003515D6">
              <w:rPr>
                <w:rFonts w:ascii="Times New Roman" w:hAnsi="Times New Roman"/>
                <w:sz w:val="24"/>
                <w:szCs w:val="24"/>
              </w:rPr>
              <w:lastRenderedPageBreak/>
              <w:t>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94010F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94010F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94010F" w:rsidP="003515D6">
            <w:pPr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94010F" w:rsidP="003515D6">
            <w:pPr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42395F" w:rsidRPr="003515D6" w:rsidTr="00B30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F81A7E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F81A7E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F81A7E" w:rsidP="003515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F81A7E" w:rsidP="003515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42395F" w:rsidRPr="003515D6" w:rsidTr="00B30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42395F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1005,3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</w:tr>
      <w:tr w:rsidR="00ED2B28" w:rsidRPr="003515D6" w:rsidTr="00B304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1005,3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B28" w:rsidRPr="003515D6" w:rsidRDefault="00ED2B28" w:rsidP="00351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</w:t>
      </w:r>
      <w:r w:rsidR="003515D6">
        <w:rPr>
          <w:rFonts w:ascii="Times New Roman" w:hAnsi="Times New Roman"/>
          <w:sz w:val="28"/>
          <w:szCs w:val="28"/>
        </w:rPr>
        <w:t>-</w:t>
      </w:r>
      <w:r w:rsidRPr="00C80921">
        <w:rPr>
          <w:rFonts w:ascii="Times New Roman" w:hAnsi="Times New Roman"/>
          <w:sz w:val="28"/>
          <w:szCs w:val="28"/>
        </w:rPr>
        <w:t xml:space="preserve">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CB0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BC4">
        <w:rPr>
          <w:rFonts w:ascii="Times New Roman" w:hAnsi="Times New Roman"/>
          <w:sz w:val="28"/>
          <w:szCs w:val="28"/>
        </w:rPr>
        <w:t>И.В.Черных</w:t>
      </w:r>
      <w:proofErr w:type="spellEnd"/>
    </w:p>
    <w:p w:rsidR="00A77E03" w:rsidRPr="00C80921" w:rsidRDefault="003515D6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E03"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0896">
        <w:rPr>
          <w:rFonts w:ascii="Times New Roman" w:hAnsi="Times New Roman" w:cs="Times New Roman"/>
          <w:b/>
          <w:sz w:val="28"/>
          <w:szCs w:val="28"/>
        </w:rPr>
        <w:t>2022-2024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7043"/>
      </w:tblGrid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04" w:rsidRPr="003515D6" w:rsidRDefault="00A77E03" w:rsidP="009C5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04" w:rsidRPr="003515D6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D7B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E0C42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3515D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A7D7B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77E03" w:rsidRPr="003515D6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</w:p>
        </w:tc>
      </w:tr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95F" w:rsidRPr="003515D6" w:rsidRDefault="00A77E03" w:rsidP="003515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77E03" w:rsidRPr="003515D6" w:rsidRDefault="0066628E" w:rsidP="0066628E">
            <w:pPr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96" w:rsidRPr="003515D6" w:rsidRDefault="00212162" w:rsidP="003515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C96" w:rsidRPr="003515D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A3" w:rsidRPr="003515D6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  <w:p w:rsidR="00485596" w:rsidRPr="003515D6" w:rsidRDefault="00485596" w:rsidP="0048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Pr="003515D6" w:rsidRDefault="00485596" w:rsidP="00485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73919" w:rsidRPr="003515D6" w:rsidRDefault="00485596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9B2683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683" w:rsidRPr="003515D6" w:rsidRDefault="009B2683" w:rsidP="009B2683">
            <w:pPr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596" w:rsidRPr="003515D6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3515D6">
              <w:rPr>
                <w:rFonts w:ascii="Times New Roman" w:hAnsi="Times New Roman"/>
              </w:rPr>
              <w:t>число граждан, получивших право на пользование мерами социальной поддержки;</w:t>
            </w:r>
          </w:p>
          <w:p w:rsidR="009B2683" w:rsidRPr="003515D6" w:rsidRDefault="00485596" w:rsidP="00351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5D6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</w:tc>
      </w:tr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E03" w:rsidRPr="003515D6" w:rsidRDefault="0066628E" w:rsidP="00666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A77E03" w:rsidRPr="003515D6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E03" w:rsidRPr="003515D6" w:rsidRDefault="00820896" w:rsidP="00F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FA66EE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03" w:rsidRPr="003515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E03" w:rsidRPr="003515D6" w:rsidRDefault="00A77E03" w:rsidP="00666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66628E" w:rsidRPr="003515D6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5E1" w:rsidRPr="003515D6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</w:t>
            </w:r>
            <w:r w:rsidR="002B6CC0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ния составляет </w:t>
            </w:r>
            <w:r w:rsidR="009132B5" w:rsidRPr="003515D6"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  <w:r w:rsidR="00AA2D25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645E1" w:rsidRPr="003515D6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3645E1" w:rsidRPr="003515D6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07E"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D25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26DB3" w:rsidRPr="00351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2D25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B5" w:rsidRPr="003515D6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E1" w:rsidRPr="003515D6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20B0" w:rsidRPr="0035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CC0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26DB3" w:rsidRPr="00351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32B5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280,1</w:t>
            </w:r>
            <w:r w:rsidR="00E2507E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77E03" w:rsidRPr="003515D6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0896" w:rsidRPr="0035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C0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26DB3" w:rsidRPr="00351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CC0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B5" w:rsidRPr="003515D6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FD0" w:rsidRPr="003515D6" w:rsidRDefault="00736FD0" w:rsidP="00666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FD0" w:rsidRPr="003515D6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C53AA" w:rsidRPr="003515D6" w:rsidTr="003515D6">
        <w:tc>
          <w:tcPr>
            <w:tcW w:w="27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E03" w:rsidRPr="003515D6" w:rsidRDefault="00A77E03" w:rsidP="0049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7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E03" w:rsidRPr="003515D6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подпрограммы осуществляет 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0C42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3515D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645E1" w:rsidRPr="003515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704B8" w:rsidRDefault="001828A3" w:rsidP="003515D6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3515D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>. Объем средств местного бюджета, направляемых на финансирование мероприятий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837ECD" w:rsidRPr="00820896">
        <w:rPr>
          <w:rFonts w:ascii="Times New Roman" w:hAnsi="Times New Roman"/>
          <w:b/>
          <w:sz w:val="28"/>
          <w:szCs w:val="28"/>
        </w:rPr>
        <w:t xml:space="preserve">от </w:t>
      </w:r>
      <w:r w:rsidR="0042395F" w:rsidRPr="00820896">
        <w:rPr>
          <w:rFonts w:ascii="Times New Roman" w:hAnsi="Times New Roman"/>
          <w:b/>
          <w:sz w:val="28"/>
          <w:szCs w:val="28"/>
        </w:rPr>
        <w:t>2</w:t>
      </w:r>
      <w:r w:rsidR="00F2641F" w:rsidRPr="00820896">
        <w:rPr>
          <w:rFonts w:ascii="Times New Roman" w:hAnsi="Times New Roman"/>
          <w:b/>
          <w:sz w:val="28"/>
          <w:szCs w:val="28"/>
        </w:rPr>
        <w:t>0</w:t>
      </w:r>
      <w:r w:rsidR="0042395F" w:rsidRPr="00820896">
        <w:rPr>
          <w:rFonts w:ascii="Times New Roman" w:hAnsi="Times New Roman"/>
          <w:b/>
          <w:sz w:val="28"/>
          <w:szCs w:val="28"/>
        </w:rPr>
        <w:t xml:space="preserve"> декабря</w:t>
      </w:r>
      <w:r w:rsidR="001704B8" w:rsidRPr="00820896">
        <w:rPr>
          <w:rFonts w:ascii="Times New Roman" w:hAnsi="Times New Roman"/>
          <w:b/>
          <w:sz w:val="28"/>
          <w:szCs w:val="28"/>
        </w:rPr>
        <w:t xml:space="preserve"> </w:t>
      </w:r>
      <w:r w:rsidR="00837ECD" w:rsidRPr="00820896">
        <w:rPr>
          <w:rFonts w:ascii="Times New Roman" w:hAnsi="Times New Roman"/>
          <w:b/>
          <w:sz w:val="28"/>
          <w:szCs w:val="28"/>
        </w:rPr>
        <w:t>201</w:t>
      </w:r>
      <w:r w:rsidR="00F2641F" w:rsidRPr="00820896">
        <w:rPr>
          <w:rFonts w:ascii="Times New Roman" w:hAnsi="Times New Roman"/>
          <w:b/>
          <w:sz w:val="28"/>
          <w:szCs w:val="28"/>
        </w:rPr>
        <w:t>9</w:t>
      </w:r>
      <w:r w:rsidR="00063D9A" w:rsidRPr="00820896">
        <w:rPr>
          <w:rFonts w:ascii="Times New Roman" w:hAnsi="Times New Roman"/>
          <w:b/>
          <w:sz w:val="28"/>
          <w:szCs w:val="28"/>
        </w:rPr>
        <w:t xml:space="preserve"> г.</w:t>
      </w:r>
      <w:r w:rsidR="00837ECD" w:rsidRPr="00820896">
        <w:rPr>
          <w:rFonts w:ascii="Times New Roman" w:hAnsi="Times New Roman"/>
          <w:b/>
          <w:sz w:val="28"/>
          <w:szCs w:val="28"/>
        </w:rPr>
        <w:t xml:space="preserve"> № </w:t>
      </w:r>
      <w:r w:rsidR="00E2507E" w:rsidRPr="00820896">
        <w:rPr>
          <w:rFonts w:ascii="Times New Roman" w:hAnsi="Times New Roman"/>
          <w:b/>
          <w:sz w:val="28"/>
          <w:szCs w:val="28"/>
        </w:rPr>
        <w:t>114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С 1 января 20</w:t>
      </w:r>
      <w:r w:rsidR="00526FFC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1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1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="00417218"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417218"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CB018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F1C28" w:rsidRPr="00C80921">
        <w:rPr>
          <w:rFonts w:ascii="Times New Roman" w:hAnsi="Times New Roman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 xml:space="preserve"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</w:t>
      </w:r>
      <w:r w:rsidR="005F1C28" w:rsidRPr="00C80921">
        <w:rPr>
          <w:rFonts w:ascii="Times New Roman" w:hAnsi="Times New Roman"/>
          <w:sz w:val="28"/>
          <w:szCs w:val="28"/>
        </w:rPr>
        <w:lastRenderedPageBreak/>
        <w:t>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526FFC">
        <w:rPr>
          <w:rFonts w:ascii="Times New Roman" w:hAnsi="Times New Roman"/>
          <w:sz w:val="28"/>
          <w:szCs w:val="28"/>
        </w:rPr>
        <w:t>280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CB0188"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B0188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063D9A" w:rsidRPr="00C80921" w:rsidRDefault="00063D9A" w:rsidP="00063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3515D6" w:rsidRDefault="00A77E03" w:rsidP="003515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5D6" w:rsidRPr="003515D6" w:rsidRDefault="003515D6" w:rsidP="003515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tbl>
      <w:tblPr>
        <w:tblW w:w="95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84"/>
        <w:gridCol w:w="1137"/>
        <w:gridCol w:w="851"/>
        <w:gridCol w:w="1275"/>
        <w:gridCol w:w="1134"/>
        <w:gridCol w:w="142"/>
        <w:gridCol w:w="1134"/>
      </w:tblGrid>
      <w:tr w:rsidR="003515D6" w:rsidRPr="00C80921" w:rsidTr="003515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515D6" w:rsidRPr="00C80921" w:rsidTr="003515D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15D6" w:rsidRPr="00C80921" w:rsidTr="003515D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C511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3515D6" w:rsidRPr="00C80921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515D6" w:rsidRPr="006B341D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3515D6" w:rsidRPr="006B341D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515D6" w:rsidRPr="00C80921" w:rsidRDefault="003515D6" w:rsidP="003515D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 Безводного сельского поселения Курганинск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5D6" w:rsidRPr="00C80921" w:rsidTr="003515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35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Default="003515D6" w:rsidP="00C51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льготами;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Pr="00C80921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D6" w:rsidRDefault="003515D6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515D6" w:rsidRPr="003515D6" w:rsidRDefault="003515D6" w:rsidP="003515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4358A4">
        <w:rPr>
          <w:rFonts w:ascii="Times New Roman" w:hAnsi="Times New Roman"/>
          <w:sz w:val="28"/>
          <w:szCs w:val="28"/>
        </w:rPr>
        <w:t>2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4358A4">
        <w:rPr>
          <w:rFonts w:ascii="Times New Roman" w:hAnsi="Times New Roman"/>
          <w:sz w:val="28"/>
          <w:szCs w:val="28"/>
        </w:rPr>
        <w:t>24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Pr="003515D6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25"/>
        <w:gridCol w:w="1332"/>
        <w:gridCol w:w="993"/>
        <w:gridCol w:w="850"/>
        <w:gridCol w:w="851"/>
        <w:gridCol w:w="850"/>
        <w:gridCol w:w="1205"/>
        <w:gridCol w:w="1205"/>
      </w:tblGrid>
      <w:tr w:rsidR="009C53AA" w:rsidRPr="00C80921" w:rsidTr="003515D6">
        <w:tc>
          <w:tcPr>
            <w:tcW w:w="567" w:type="dxa"/>
            <w:vMerge w:val="restart"/>
          </w:tcPr>
          <w:p w:rsidR="001E7AE0" w:rsidRPr="00C80921" w:rsidRDefault="001700EF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0,0</w:t>
            </w:r>
          </w:p>
        </w:tc>
        <w:tc>
          <w:tcPr>
            <w:tcW w:w="202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2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E7AE0" w:rsidP="003515D6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515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C80921" w:rsidTr="003515D6">
        <w:tc>
          <w:tcPr>
            <w:tcW w:w="567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C80921" w:rsidRDefault="001E7AE0" w:rsidP="003515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1" w:type="dxa"/>
          </w:tcPr>
          <w:p w:rsidR="001E7AE0" w:rsidRPr="00C80921" w:rsidRDefault="001E7AE0" w:rsidP="003515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0" w:type="dxa"/>
          </w:tcPr>
          <w:p w:rsidR="001E7AE0" w:rsidRPr="00C80921" w:rsidRDefault="001E7AE0" w:rsidP="003515D6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3515D6">
        <w:tc>
          <w:tcPr>
            <w:tcW w:w="567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:rsidTr="003515D6">
        <w:trPr>
          <w:trHeight w:val="7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Merge w:val="restart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332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850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851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850" w:type="dxa"/>
          </w:tcPr>
          <w:p w:rsidR="00386354" w:rsidRPr="00C80921" w:rsidRDefault="009132B5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05" w:type="dxa"/>
            <w:vMerge w:val="restart"/>
          </w:tcPr>
          <w:p w:rsidR="00386354" w:rsidRPr="00313A27" w:rsidRDefault="00386354" w:rsidP="00386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lastRenderedPageBreak/>
              <w:t>Безводного сельского поселения</w:t>
            </w:r>
            <w:r w:rsidR="00CB0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A27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  <w:p w:rsidR="00386354" w:rsidRPr="00C80921" w:rsidRDefault="00386354" w:rsidP="00386354">
            <w:pPr>
              <w:pStyle w:val="Style24"/>
              <w:widowControl/>
            </w:pPr>
          </w:p>
          <w:p w:rsidR="00386354" w:rsidRPr="00C80921" w:rsidRDefault="00386354" w:rsidP="00386354">
            <w:pPr>
              <w:pStyle w:val="Style24"/>
            </w:pPr>
            <w:r>
              <w:t xml:space="preserve"> 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3515D6">
        <w:trPr>
          <w:trHeight w:val="3010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851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3515D6">
        <w:trPr>
          <w:trHeight w:val="1650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5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1332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 w:val="restart"/>
          </w:tcPr>
          <w:p w:rsidR="009132B5" w:rsidRPr="00C80921" w:rsidRDefault="009132B5" w:rsidP="009132B5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9132B5" w:rsidRPr="00C80921" w:rsidRDefault="009132B5" w:rsidP="003515D6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132B5" w:rsidRPr="00C80921" w:rsidTr="003515D6">
        <w:trPr>
          <w:trHeight w:val="1650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3515D6">
        <w:trPr>
          <w:trHeight w:val="2910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vMerge w:val="restart"/>
          </w:tcPr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</w:t>
            </w:r>
            <w:r w:rsidR="003515D6">
              <w:rPr>
                <w:rStyle w:val="FontStyle23"/>
                <w:sz w:val="24"/>
                <w:szCs w:val="24"/>
              </w:rPr>
              <w:t xml:space="preserve"> бесплатному зубопротезированию</w:t>
            </w:r>
          </w:p>
        </w:tc>
        <w:tc>
          <w:tcPr>
            <w:tcW w:w="1332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9843AE" w:rsidRDefault="00CB0188" w:rsidP="00351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9132B5"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 w:rsidR="009132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32B5"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федеральными и краевыми законами.</w:t>
            </w:r>
          </w:p>
        </w:tc>
        <w:tc>
          <w:tcPr>
            <w:tcW w:w="1205" w:type="dxa"/>
            <w:vMerge w:val="restart"/>
          </w:tcPr>
          <w:p w:rsidR="009132B5" w:rsidRPr="00C80921" w:rsidRDefault="009132B5" w:rsidP="003515D6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132B5" w:rsidRPr="00C80921" w:rsidTr="003515D6">
        <w:trPr>
          <w:trHeight w:val="1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</w:tcPr>
          <w:p w:rsidR="009132B5" w:rsidRPr="00C80921" w:rsidRDefault="009132B5" w:rsidP="009132B5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3515D6">
        <w:trPr>
          <w:trHeight w:val="445"/>
        </w:trPr>
        <w:tc>
          <w:tcPr>
            <w:tcW w:w="567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2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1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C80921" w:rsidTr="003515D6">
        <w:trPr>
          <w:trHeight w:val="355"/>
        </w:trPr>
        <w:tc>
          <w:tcPr>
            <w:tcW w:w="567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2B5" w:rsidRPr="00C80921" w:rsidRDefault="009132B5" w:rsidP="009132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993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850" w:type="dxa"/>
          </w:tcPr>
          <w:p w:rsidR="009132B5" w:rsidRPr="00C80921" w:rsidRDefault="009132B5" w:rsidP="009132B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1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</w:tcPr>
          <w:p w:rsidR="009132B5" w:rsidRDefault="009132B5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132B5" w:rsidRPr="00C80921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063D9A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подпрограммы составляет </w:t>
      </w:r>
      <w:r w:rsidR="00131113">
        <w:rPr>
          <w:rFonts w:ascii="Times New Roman" w:hAnsi="Times New Roman" w:cs="Times New Roman"/>
          <w:sz w:val="28"/>
          <w:szCs w:val="28"/>
        </w:rPr>
        <w:t>840,3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09"/>
        <w:gridCol w:w="1418"/>
        <w:gridCol w:w="992"/>
        <w:gridCol w:w="992"/>
        <w:gridCol w:w="992"/>
      </w:tblGrid>
      <w:tr w:rsidR="009B5A72" w:rsidRPr="00C80921" w:rsidTr="006A6531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B3799C" w:rsidRDefault="00063D9A" w:rsidP="00351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6A6531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99C" w:rsidRPr="00C80921" w:rsidTr="006A653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6A6531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131113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131113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131113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131113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</w:tr>
      <w:tr w:rsidR="005E5B59" w:rsidRPr="00C80921" w:rsidTr="006A653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351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  <w:r w:rsidR="0035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6A653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6A6531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5E5B59" w:rsidRPr="00C80921" w:rsidTr="006A653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31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C1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B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13111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6A6531" w:rsidRDefault="006A6531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 xml:space="preserve">Текущее управление подпрограммой осуществляет ее координатор </w:t>
      </w:r>
      <w:r w:rsidR="006A6531">
        <w:rPr>
          <w:rFonts w:ascii="Times New Roman" w:hAnsi="Times New Roman"/>
          <w:sz w:val="28"/>
          <w:szCs w:val="28"/>
        </w:rPr>
        <w:t>-</w:t>
      </w:r>
      <w:r w:rsidRPr="00C80921">
        <w:rPr>
          <w:rFonts w:ascii="Times New Roman" w:hAnsi="Times New Roman"/>
          <w:sz w:val="28"/>
          <w:szCs w:val="28"/>
        </w:rPr>
        <w:t xml:space="preserve">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9C4953" w:rsidRPr="00C80921" w:rsidRDefault="006A6531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C4953" w:rsidRPr="00C8092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>сельском поселении Курганинского района</w:t>
      </w:r>
      <w:r w:rsidRPr="00C80921">
        <w:rPr>
          <w:rFonts w:ascii="Times New Roman" w:hAnsi="Times New Roman"/>
          <w:b/>
          <w:sz w:val="28"/>
          <w:szCs w:val="28"/>
        </w:rPr>
        <w:t>»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C80921">
        <w:rPr>
          <w:rFonts w:ascii="Times New Roman" w:hAnsi="Times New Roman"/>
          <w:b/>
          <w:bCs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820896">
        <w:rPr>
          <w:rFonts w:ascii="Times New Roman" w:hAnsi="Times New Roman"/>
          <w:b/>
          <w:sz w:val="28"/>
          <w:szCs w:val="28"/>
        </w:rPr>
        <w:t>2022-2024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</w:p>
    <w:p w:rsidR="00063D9A" w:rsidRDefault="00063D9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  <w:r w:rsidR="006A6531">
        <w:rPr>
          <w:rFonts w:ascii="Times New Roman" w:hAnsi="Times New Roman"/>
          <w:sz w:val="28"/>
          <w:szCs w:val="28"/>
        </w:rPr>
        <w:t>о</w:t>
      </w:r>
      <w:r w:rsidRPr="00C80921">
        <w:rPr>
          <w:rFonts w:ascii="Times New Roman" w:hAnsi="Times New Roman"/>
          <w:sz w:val="28"/>
          <w:szCs w:val="28"/>
        </w:rPr>
        <w:t>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820896">
        <w:rPr>
          <w:rFonts w:ascii="Times New Roman" w:hAnsi="Times New Roman"/>
          <w:sz w:val="28"/>
          <w:szCs w:val="28"/>
        </w:rPr>
        <w:t>2022-2024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6A6531" w:rsidTr="00063D9A">
        <w:tc>
          <w:tcPr>
            <w:tcW w:w="2977" w:type="dxa"/>
          </w:tcPr>
          <w:p w:rsidR="009C4953" w:rsidRPr="006A653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  <w:r w:rsidR="002A50C2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953" w:rsidRPr="006A6531" w:rsidRDefault="009C4953" w:rsidP="005B09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6A653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6A653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04216A" w:rsidRPr="006A6531" w:rsidTr="00063D9A">
        <w:tc>
          <w:tcPr>
            <w:tcW w:w="2977" w:type="dxa"/>
          </w:tcPr>
          <w:p w:rsidR="009C4953" w:rsidRPr="006A653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6A6531" w:rsidRPr="006A6531" w:rsidRDefault="006A6531" w:rsidP="005B09C6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6A6531" w:rsidRDefault="009C4953" w:rsidP="005B09C6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</w:t>
            </w:r>
            <w:r w:rsidR="002A50C2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6A6531" w:rsidRDefault="009C4953" w:rsidP="006A6531">
            <w:pPr>
              <w:pStyle w:val="a5"/>
              <w:ind w:right="34"/>
              <w:rPr>
                <w:rFonts w:ascii="Times New Roman" w:hAnsi="Times New Roman"/>
              </w:rPr>
            </w:pPr>
            <w:r w:rsidRPr="006A6531">
              <w:rPr>
                <w:rFonts w:ascii="Times New Roman" w:hAnsi="Times New Roman" w:cs="Times New Roman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6A6531">
              <w:rPr>
                <w:rFonts w:ascii="Times New Roman" w:hAnsi="Times New Roman" w:cs="Times New Roman"/>
              </w:rPr>
              <w:t xml:space="preserve"> </w:t>
            </w:r>
            <w:r w:rsidRPr="006A6531">
              <w:rPr>
                <w:rFonts w:ascii="Times New Roman" w:hAnsi="Times New Roman" w:cs="Times New Roman"/>
              </w:rPr>
              <w:t>вовлечение граждан в эту деятельность</w:t>
            </w:r>
          </w:p>
          <w:p w:rsidR="009C4953" w:rsidRPr="006A653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53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6A653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531">
              <w:rPr>
                <w:rFonts w:ascii="Times New Roman" w:hAnsi="Times New Roman"/>
                <w:sz w:val="24"/>
                <w:szCs w:val="24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6A653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531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6A6531" w:rsidRDefault="009C4953" w:rsidP="0004216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hAnsi="Times New Roman"/>
                <w:sz w:val="24"/>
                <w:szCs w:val="24"/>
              </w:rPr>
              <w:t xml:space="preserve">в ходе реализации общественно полезных </w:t>
            </w:r>
            <w:r w:rsidR="0004216A" w:rsidRPr="006A6531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04216A" w:rsidRPr="006A6531" w:rsidTr="00063D9A">
        <w:tc>
          <w:tcPr>
            <w:tcW w:w="2977" w:type="dxa"/>
          </w:tcPr>
          <w:p w:rsidR="009C4953" w:rsidRPr="006A6531" w:rsidRDefault="009C4953" w:rsidP="0004216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 w:rsidR="002A50C2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6A6531" w:rsidRDefault="00820896" w:rsidP="004C458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  <w:r w:rsidR="00CB0188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953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4216A" w:rsidRPr="006A6531" w:rsidTr="00063D9A">
        <w:tc>
          <w:tcPr>
            <w:tcW w:w="2977" w:type="dxa"/>
          </w:tcPr>
          <w:p w:rsidR="009C4953" w:rsidRPr="006A653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</w:t>
            </w:r>
            <w:r w:rsidR="006A6531"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  <w:p w:rsidR="006A6531" w:rsidRPr="006A6531" w:rsidRDefault="006A6531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531" w:rsidRPr="006A6531" w:rsidRDefault="006A6531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6A6531" w:rsidRDefault="009C4953" w:rsidP="00063D9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</w:p>
          <w:p w:rsidR="009C4953" w:rsidRPr="006A6531" w:rsidRDefault="009C4953" w:rsidP="00063D9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6A653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6A6531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820896" w:rsidRPr="006A6531">
              <w:rPr>
                <w:rFonts w:ascii="Times New Roman" w:hAnsi="Times New Roman" w:cs="Times New Roman"/>
              </w:rPr>
              <w:t>2022-2024</w:t>
            </w:r>
            <w:r w:rsidR="00B772F9" w:rsidRPr="006A6531">
              <w:rPr>
                <w:rFonts w:ascii="Times New Roman" w:hAnsi="Times New Roman" w:cs="Times New Roman"/>
              </w:rPr>
              <w:t> </w:t>
            </w:r>
            <w:r w:rsidRPr="006A6531">
              <w:rPr>
                <w:rFonts w:ascii="Times New Roman" w:hAnsi="Times New Roman" w:cs="Times New Roman"/>
              </w:rPr>
              <w:t>годы</w:t>
            </w:r>
            <w:r w:rsidR="002A50C2" w:rsidRPr="006A6531">
              <w:rPr>
                <w:rFonts w:ascii="Times New Roman" w:hAnsi="Times New Roman" w:cs="Times New Roman"/>
              </w:rPr>
              <w:t xml:space="preserve"> </w:t>
            </w:r>
            <w:r w:rsidR="00EC16F0" w:rsidRPr="006A6531">
              <w:rPr>
                <w:rFonts w:ascii="Times New Roman" w:hAnsi="Times New Roman" w:cs="Times New Roman"/>
              </w:rPr>
              <w:t>165,0</w:t>
            </w:r>
            <w:r w:rsidRPr="006A6531">
              <w:rPr>
                <w:rFonts w:ascii="Times New Roman" w:hAnsi="Times New Roman" w:cs="Times New Roman"/>
              </w:rPr>
              <w:t xml:space="preserve"> тыс. рублей из</w:t>
            </w:r>
            <w:r w:rsidR="002A50C2" w:rsidRPr="006A6531">
              <w:rPr>
                <w:rFonts w:ascii="Times New Roman" w:hAnsi="Times New Roman" w:cs="Times New Roman"/>
              </w:rPr>
              <w:t xml:space="preserve"> </w:t>
            </w:r>
            <w:r w:rsidRPr="006A6531">
              <w:rPr>
                <w:rFonts w:ascii="Times New Roman" w:hAnsi="Times New Roman" w:cs="Times New Roman"/>
              </w:rPr>
              <w:t>средств</w:t>
            </w:r>
            <w:r w:rsidR="002A50C2" w:rsidRPr="006A6531">
              <w:rPr>
                <w:rFonts w:ascii="Times New Roman" w:hAnsi="Times New Roman" w:cs="Times New Roman"/>
              </w:rPr>
              <w:t xml:space="preserve"> </w:t>
            </w:r>
            <w:r w:rsidRPr="006A6531">
              <w:rPr>
                <w:rFonts w:ascii="Times New Roman" w:hAnsi="Times New Roman" w:cs="Times New Roman"/>
              </w:rPr>
              <w:t>местного</w:t>
            </w:r>
            <w:r w:rsidR="002A50C2" w:rsidRPr="006A6531">
              <w:rPr>
                <w:rFonts w:ascii="Times New Roman" w:hAnsi="Times New Roman" w:cs="Times New Roman"/>
              </w:rPr>
              <w:t xml:space="preserve"> </w:t>
            </w:r>
            <w:r w:rsidRPr="006A6531">
              <w:rPr>
                <w:rFonts w:ascii="Times New Roman" w:hAnsi="Times New Roman" w:cs="Times New Roman"/>
              </w:rPr>
              <w:t xml:space="preserve">бюджета в том числе: </w:t>
            </w:r>
          </w:p>
          <w:p w:rsidR="009C4953" w:rsidRPr="006A653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6A6531">
              <w:rPr>
                <w:rFonts w:ascii="Times New Roman" w:hAnsi="Times New Roman" w:cs="Times New Roman"/>
              </w:rPr>
              <w:t>55,0</w:t>
            </w:r>
            <w:r w:rsidR="009C4953" w:rsidRPr="006A6531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6A6531">
              <w:rPr>
                <w:rFonts w:ascii="Times New Roman" w:hAnsi="Times New Roman" w:cs="Times New Roman"/>
              </w:rPr>
              <w:t xml:space="preserve">– </w:t>
            </w:r>
            <w:r w:rsidR="00FA66EE" w:rsidRPr="006A6531">
              <w:rPr>
                <w:rFonts w:ascii="Times New Roman" w:hAnsi="Times New Roman" w:cs="Times New Roman"/>
              </w:rPr>
              <w:t>20</w:t>
            </w:r>
            <w:r w:rsidR="00B772F9" w:rsidRPr="006A6531">
              <w:rPr>
                <w:rFonts w:ascii="Times New Roman" w:hAnsi="Times New Roman" w:cs="Times New Roman"/>
              </w:rPr>
              <w:t>2</w:t>
            </w:r>
            <w:r w:rsidR="004358A4" w:rsidRPr="006A6531">
              <w:rPr>
                <w:rFonts w:ascii="Times New Roman" w:hAnsi="Times New Roman" w:cs="Times New Roman"/>
              </w:rPr>
              <w:t>2</w:t>
            </w:r>
            <w:r w:rsidR="0004216A" w:rsidRPr="006A6531">
              <w:rPr>
                <w:rFonts w:ascii="Times New Roman" w:hAnsi="Times New Roman" w:cs="Times New Roman"/>
              </w:rPr>
              <w:t xml:space="preserve"> </w:t>
            </w:r>
            <w:r w:rsidR="009C4953" w:rsidRPr="006A6531">
              <w:rPr>
                <w:rFonts w:ascii="Times New Roman" w:hAnsi="Times New Roman" w:cs="Times New Roman"/>
              </w:rPr>
              <w:t>год</w:t>
            </w:r>
          </w:p>
          <w:p w:rsidR="009C4953" w:rsidRPr="006A653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6A6531">
              <w:rPr>
                <w:rFonts w:ascii="Times New Roman" w:hAnsi="Times New Roman" w:cs="Times New Roman"/>
              </w:rPr>
              <w:t>55,0</w:t>
            </w:r>
            <w:r w:rsidR="009C4953" w:rsidRPr="006A6531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6A6531">
              <w:rPr>
                <w:rFonts w:ascii="Times New Roman" w:hAnsi="Times New Roman" w:cs="Times New Roman"/>
              </w:rPr>
              <w:t xml:space="preserve">– </w:t>
            </w:r>
            <w:r w:rsidR="00FA66EE" w:rsidRPr="006A6531">
              <w:rPr>
                <w:rFonts w:ascii="Times New Roman" w:hAnsi="Times New Roman" w:cs="Times New Roman"/>
              </w:rPr>
              <w:t>20</w:t>
            </w:r>
            <w:r w:rsidR="00B772F9" w:rsidRPr="006A6531">
              <w:rPr>
                <w:rFonts w:ascii="Times New Roman" w:hAnsi="Times New Roman" w:cs="Times New Roman"/>
              </w:rPr>
              <w:t>2</w:t>
            </w:r>
            <w:r w:rsidR="004358A4" w:rsidRPr="006A6531">
              <w:rPr>
                <w:rFonts w:ascii="Times New Roman" w:hAnsi="Times New Roman" w:cs="Times New Roman"/>
              </w:rPr>
              <w:t>3</w:t>
            </w:r>
            <w:r w:rsidR="0004216A" w:rsidRPr="006A6531">
              <w:rPr>
                <w:rFonts w:ascii="Times New Roman" w:hAnsi="Times New Roman" w:cs="Times New Roman"/>
              </w:rPr>
              <w:t xml:space="preserve"> </w:t>
            </w:r>
            <w:r w:rsidR="009C4953" w:rsidRPr="006A6531">
              <w:rPr>
                <w:rFonts w:ascii="Times New Roman" w:hAnsi="Times New Roman" w:cs="Times New Roman"/>
              </w:rPr>
              <w:t>год</w:t>
            </w:r>
          </w:p>
          <w:p w:rsidR="009C4953" w:rsidRPr="006A653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6A6531">
              <w:rPr>
                <w:rFonts w:ascii="Times New Roman" w:hAnsi="Times New Roman" w:cs="Times New Roman"/>
              </w:rPr>
              <w:t>55,0</w:t>
            </w:r>
            <w:r w:rsidR="009C4953" w:rsidRPr="006A6531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6A6531">
              <w:rPr>
                <w:rFonts w:ascii="Times New Roman" w:hAnsi="Times New Roman" w:cs="Times New Roman"/>
              </w:rPr>
              <w:t xml:space="preserve">– </w:t>
            </w:r>
            <w:r w:rsidR="00FA66EE" w:rsidRPr="006A6531">
              <w:rPr>
                <w:rFonts w:ascii="Times New Roman" w:hAnsi="Times New Roman" w:cs="Times New Roman"/>
              </w:rPr>
              <w:t>20</w:t>
            </w:r>
            <w:r w:rsidR="00674AF4" w:rsidRPr="006A6531">
              <w:rPr>
                <w:rFonts w:ascii="Times New Roman" w:hAnsi="Times New Roman" w:cs="Times New Roman"/>
              </w:rPr>
              <w:t>2</w:t>
            </w:r>
            <w:r w:rsidR="004358A4" w:rsidRPr="006A6531">
              <w:rPr>
                <w:rFonts w:ascii="Times New Roman" w:hAnsi="Times New Roman" w:cs="Times New Roman"/>
              </w:rPr>
              <w:t>4</w:t>
            </w:r>
            <w:r w:rsidR="0004216A" w:rsidRPr="006A6531">
              <w:rPr>
                <w:rFonts w:ascii="Times New Roman" w:hAnsi="Times New Roman" w:cs="Times New Roman"/>
              </w:rPr>
              <w:t xml:space="preserve"> год</w:t>
            </w:r>
          </w:p>
          <w:p w:rsidR="009C4953" w:rsidRPr="006A6531" w:rsidRDefault="002A50C2" w:rsidP="005B09C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953" w:rsidRPr="006A6531" w:rsidRDefault="009C4953" w:rsidP="0004216A">
            <w:pPr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правоохранительных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531" w:rsidRDefault="006A6531" w:rsidP="006A653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5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60"/>
        <w:gridCol w:w="992"/>
        <w:gridCol w:w="567"/>
        <w:gridCol w:w="992"/>
        <w:gridCol w:w="712"/>
        <w:gridCol w:w="281"/>
        <w:gridCol w:w="853"/>
      </w:tblGrid>
      <w:tr w:rsidR="006A6531" w:rsidRPr="00C80921" w:rsidTr="006A65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A6531" w:rsidRPr="00C80921" w:rsidTr="006A653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реализации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6A6531" w:rsidRPr="00C80921" w:rsidTr="006A6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</w:p>
          <w:p w:rsidR="006A6531" w:rsidRPr="00C80921" w:rsidRDefault="006A6531" w:rsidP="00C511D8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531" w:rsidRPr="00C80921" w:rsidTr="006A6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 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6A6531" w:rsidRPr="00C80921" w:rsidTr="006A6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pStyle w:val="a5"/>
              <w:ind w:right="34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 - 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деятельность.</w:t>
            </w:r>
          </w:p>
        </w:tc>
      </w:tr>
      <w:tr w:rsidR="006A6531" w:rsidRPr="00C80921" w:rsidTr="006A6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6A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31" w:rsidRPr="00C80921" w:rsidRDefault="006A6531" w:rsidP="00C51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3A03" w:rsidRDefault="00423A03" w:rsidP="00423A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531" w:rsidRPr="00C80921" w:rsidRDefault="00423A03" w:rsidP="00423A0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>
        <w:rPr>
          <w:rFonts w:ascii="Times New Roman" w:hAnsi="Times New Roman"/>
          <w:sz w:val="28"/>
          <w:szCs w:val="28"/>
        </w:rPr>
        <w:t>2020</w:t>
      </w:r>
      <w:r w:rsidRPr="00C8092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муниципальной поддержки социально ориентированных некоммерческих организаций, направленных на развитие общественных инициатив по решению социальных проблем в поселении, вовлечение граждан в эту деятельность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9C4953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423A03" w:rsidRPr="00063D9A" w:rsidRDefault="00423A03" w:rsidP="00423A03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423A0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423A0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423A0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1" w:type="dxa"/>
          </w:tcPr>
          <w:p w:rsidR="009C4953" w:rsidRPr="00C80921" w:rsidRDefault="009C4953" w:rsidP="00423A0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0" w:type="dxa"/>
          </w:tcPr>
          <w:p w:rsidR="009C4953" w:rsidRPr="00C80921" w:rsidRDefault="009C4953" w:rsidP="00423A03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="00423A03">
              <w:rPr>
                <w:rStyle w:val="FontStyle57"/>
                <w:sz w:val="24"/>
                <w:szCs w:val="24"/>
              </w:rPr>
              <w:t>з</w:t>
            </w:r>
            <w:r w:rsidRPr="00C80921">
              <w:rPr>
                <w:rStyle w:val="FontStyle57"/>
                <w:sz w:val="24"/>
                <w:szCs w:val="24"/>
              </w:rPr>
              <w:t>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04216A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423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C80921" w:rsidRDefault="0051401C" w:rsidP="00423A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EC16F0" w:rsidRPr="00C80921" w:rsidTr="0004216A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820896">
        <w:rPr>
          <w:rFonts w:ascii="Times New Roman" w:hAnsi="Times New Roman" w:cs="Times New Roman"/>
          <w:sz w:val="28"/>
          <w:szCs w:val="28"/>
        </w:rPr>
        <w:t>2022-2024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>165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423A03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423A0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953" w:rsidRPr="00423A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4216A" w:rsidRPr="00423A03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1F82" w:rsidRPr="0042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 w:rsidRPr="0042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4B4E" w:rsidRPr="0042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 w:rsidRPr="0042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8A4" w:rsidRPr="0042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16A" w:rsidRPr="00423A03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E23FA9" w:rsidP="005B0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4216A" w:rsidRPr="0042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423A03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0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</w:t>
      </w:r>
      <w:r w:rsidR="00423A03">
        <w:rPr>
          <w:rFonts w:ascii="Times New Roman" w:hAnsi="Times New Roman"/>
          <w:sz w:val="28"/>
          <w:szCs w:val="28"/>
        </w:rPr>
        <w:t xml:space="preserve">мой осуществляет ее координатор - </w:t>
      </w:r>
      <w:bookmarkStart w:id="0" w:name="_GoBack"/>
      <w:bookmarkEnd w:id="0"/>
      <w:r w:rsidRPr="00C80921">
        <w:rPr>
          <w:rFonts w:ascii="Times New Roman" w:hAnsi="Times New Roman"/>
          <w:sz w:val="28"/>
          <w:szCs w:val="28"/>
        </w:rPr>
        <w:t>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</w:t>
      </w:r>
      <w:r w:rsidR="00423A03">
        <w:rPr>
          <w:rFonts w:ascii="Times New Roman" w:hAnsi="Times New Roman"/>
          <w:sz w:val="28"/>
          <w:szCs w:val="28"/>
        </w:rPr>
        <w:t>ой осуществляет ее координатор -</w:t>
      </w:r>
      <w:r w:rsidRPr="00C80921">
        <w:rPr>
          <w:rFonts w:ascii="Times New Roman" w:hAnsi="Times New Roman"/>
          <w:sz w:val="28"/>
          <w:szCs w:val="28"/>
        </w:rPr>
        <w:t>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sectPr w:rsidR="00E23FA9" w:rsidRPr="00063D9A" w:rsidSect="005836D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E1242"/>
    <w:rsid w:val="000E58C1"/>
    <w:rsid w:val="000E70C8"/>
    <w:rsid w:val="00105ADF"/>
    <w:rsid w:val="001101EC"/>
    <w:rsid w:val="00117D4F"/>
    <w:rsid w:val="001219AE"/>
    <w:rsid w:val="00124286"/>
    <w:rsid w:val="00131113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948"/>
    <w:rsid w:val="002E3BD5"/>
    <w:rsid w:val="002F0F33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15D6"/>
    <w:rsid w:val="003530E5"/>
    <w:rsid w:val="0036095B"/>
    <w:rsid w:val="0036256C"/>
    <w:rsid w:val="003645E1"/>
    <w:rsid w:val="00364B1D"/>
    <w:rsid w:val="00367473"/>
    <w:rsid w:val="00371A22"/>
    <w:rsid w:val="00375E02"/>
    <w:rsid w:val="00383E76"/>
    <w:rsid w:val="00386354"/>
    <w:rsid w:val="003A5707"/>
    <w:rsid w:val="003A7D04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3A03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85596"/>
    <w:rsid w:val="00490802"/>
    <w:rsid w:val="00490F54"/>
    <w:rsid w:val="004A53A7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3237B"/>
    <w:rsid w:val="00536F8A"/>
    <w:rsid w:val="005467D3"/>
    <w:rsid w:val="00551A5C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A6531"/>
    <w:rsid w:val="006B0B77"/>
    <w:rsid w:val="006B341D"/>
    <w:rsid w:val="006B473F"/>
    <w:rsid w:val="006C0F93"/>
    <w:rsid w:val="006D20BD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32B5"/>
    <w:rsid w:val="00916D18"/>
    <w:rsid w:val="00925A54"/>
    <w:rsid w:val="00927093"/>
    <w:rsid w:val="0093303D"/>
    <w:rsid w:val="0094010F"/>
    <w:rsid w:val="00942D6E"/>
    <w:rsid w:val="00964D95"/>
    <w:rsid w:val="00965E2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0430"/>
    <w:rsid w:val="00B323E2"/>
    <w:rsid w:val="00B353AF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0188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95E3B"/>
    <w:rsid w:val="00DA72BF"/>
    <w:rsid w:val="00DC4C3E"/>
    <w:rsid w:val="00DC7859"/>
    <w:rsid w:val="00DD1EDE"/>
    <w:rsid w:val="00DE74C4"/>
    <w:rsid w:val="00DF7C8D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860A3"/>
    <w:rsid w:val="00E93F31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87433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328"/>
  <w15:chartTrackingRefBased/>
  <w15:docId w15:val="{E207DE55-875F-41A1-8575-3545AAF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C729-3690-4981-9B15-6DF5C32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47216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2</cp:revision>
  <cp:lastPrinted>2020-09-14T13:40:00Z</cp:lastPrinted>
  <dcterms:created xsi:type="dcterms:W3CDTF">2021-10-06T08:39:00Z</dcterms:created>
  <dcterms:modified xsi:type="dcterms:W3CDTF">2021-10-06T08:39:00Z</dcterms:modified>
</cp:coreProperties>
</file>